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A7" w:rsidRDefault="00FE15A7" w:rsidP="00FE15A7">
      <w:pPr>
        <w:spacing w:after="120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0E5450" w:rsidRDefault="000E5450" w:rsidP="000E5450">
      <w:pPr>
        <w:pStyle w:val="a9"/>
      </w:pPr>
      <w:r>
        <w:rPr>
          <w:noProof/>
        </w:rPr>
        <w:drawing>
          <wp:inline distT="0" distB="0" distL="0" distR="0">
            <wp:extent cx="6496050" cy="9078279"/>
            <wp:effectExtent l="19050" t="0" r="0" b="0"/>
            <wp:docPr id="1" name="Рисунок 1" descr="C:\Users\Honor\Downloads\IMG_6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or\Downloads\IMG_6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623" cy="908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A7" w:rsidRDefault="00FE15A7" w:rsidP="00FE15A7">
      <w:pPr>
        <w:spacing w:after="120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FE15A7" w:rsidRDefault="00FE15A7" w:rsidP="00FE15A7">
      <w:pPr>
        <w:spacing w:after="120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B20615" w:rsidRDefault="00B20615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lastRenderedPageBreak/>
        <w:t xml:space="preserve">5.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года». </w:t>
      </w:r>
    </w:p>
    <w:p w:rsidR="00B20615" w:rsidRDefault="00B20615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 xml:space="preserve">6. Указ Президента Российской Федерации от 21 июля 2020 года № 474 «О национальных целях развития Российской Федерации на период до 2030 года». </w:t>
      </w:r>
    </w:p>
    <w:p w:rsidR="00B20615" w:rsidRDefault="00FE15A7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7</w:t>
      </w:r>
      <w:r w:rsidR="00B20615">
        <w:t xml:space="preserve">. Распоряжение Правительства РФ от 05 марта 2015 года № 366-р (ред. от 23 ноября 2017 года) «Об утверждении плана мероприятий, направленных на популяризацию рабочих и инженерных профессий». – Письмо Министерства просвещения Российской Федерации от 01. 06. 2023 г. № АБ-2324/05 «О внедрении Единой модели профессиональной ориентации» (Методические рекомендации по реализации </w:t>
      </w:r>
      <w:proofErr w:type="spellStart"/>
      <w:r w:rsidR="00B20615">
        <w:t>профориентационного</w:t>
      </w:r>
      <w:proofErr w:type="spellEnd"/>
      <w:r w:rsidR="00B20615"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образования).</w:t>
      </w:r>
    </w:p>
    <w:p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:rsidR="00F64D96" w:rsidRDefault="00C539BF">
      <w:pPr>
        <w:pStyle w:val="1"/>
        <w:ind w:left="1160"/>
        <w:jc w:val="both"/>
      </w:pPr>
      <w:r>
        <w:t xml:space="preserve"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</w:t>
      </w:r>
      <w:r>
        <w:lastRenderedPageBreak/>
        <w:t>консультации педагога и психолога, моделирующие профессиональные пробы в онлайн-формате и др.);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>
        <w:t>Абилимпикс</w:t>
      </w:r>
      <w:proofErr w:type="spellEnd"/>
      <w:r>
        <w:t>», «Профессионалы» и Чемпионат высоких технологий);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:rsidR="00F64D96" w:rsidRDefault="00C539BF">
      <w:pPr>
        <w:pStyle w:val="1"/>
        <w:ind w:firstLine="720"/>
        <w:jc w:val="both"/>
      </w:pPr>
      <w:r>
        <w:t>УРОЧНАЯ ДЕЯТЕЛЬНОСТЬ</w:t>
      </w:r>
    </w:p>
    <w:p w:rsidR="00F64D96" w:rsidRDefault="00C539BF">
      <w:pPr>
        <w:pStyle w:val="1"/>
        <w:ind w:firstLine="720"/>
        <w:jc w:val="both"/>
      </w:pPr>
      <w:r>
        <w:t>На выбор: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:rsidR="00F64D96" w:rsidRDefault="00C539BF">
      <w:pPr>
        <w:pStyle w:val="1"/>
        <w:ind w:firstLine="720"/>
        <w:jc w:val="both"/>
      </w:pPr>
      <w:r>
        <w:t>ВОСПИТАТЕЛЬНАЯ РАБОТА</w:t>
      </w:r>
    </w:p>
    <w:p w:rsidR="00F64D96" w:rsidRDefault="00C539BF">
      <w:pPr>
        <w:pStyle w:val="1"/>
        <w:ind w:left="1160"/>
        <w:jc w:val="both"/>
      </w:pPr>
      <w:r>
        <w:t>На выбор: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 xml:space="preserve">Конкурсы профориентационной направленности (в том числе в рамках Российского движения школьников, Юнармии, реализации проекта "Россия - </w:t>
      </w:r>
      <w:r>
        <w:lastRenderedPageBreak/>
        <w:t>страна возможностей», чемпионатов «</w:t>
      </w:r>
      <w:proofErr w:type="spellStart"/>
      <w:r>
        <w:t>Абилимпикс</w:t>
      </w:r>
      <w:proofErr w:type="spellEnd"/>
      <w:r>
        <w:t>», «Профессионалы» и др.) Рекомендованное количество: от 2 часов.</w:t>
      </w:r>
    </w:p>
    <w:p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F64D96" w:rsidRDefault="00C539BF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>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0031A1">
            <w:pPr>
              <w:pStyle w:val="a5"/>
              <w:jc w:val="center"/>
            </w:pPr>
            <w:r>
              <w:t>Администраци</w:t>
            </w:r>
            <w:r w:rsidR="00C539BF">
              <w:t>я школы, социальный педагог</w:t>
            </w:r>
          </w:p>
        </w:tc>
      </w:tr>
      <w:tr w:rsidR="00F64D96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</w:tbl>
    <w:p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:rsidR="00F64D96" w:rsidRDefault="00C539BF">
            <w:pPr>
              <w:pStyle w:val="a5"/>
              <w:jc w:val="both"/>
            </w:pPr>
            <w:proofErr w:type="spellStart"/>
            <w:r>
              <w:t>онлайн-формате</w:t>
            </w:r>
            <w:proofErr w:type="spellEnd"/>
            <w:r>
              <w:t>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классные руководители.</w:t>
            </w:r>
          </w:p>
        </w:tc>
      </w:tr>
    </w:tbl>
    <w:p w:rsidR="00F64D96" w:rsidRDefault="00F64D96">
      <w:pPr>
        <w:spacing w:after="619" w:line="1" w:lineRule="exact"/>
      </w:pPr>
    </w:p>
    <w:p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0291"/>
      </w:tblGrid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:rsidR="00F64D96" w:rsidRDefault="00F64D96"/>
    <w:sectPr w:rsidR="00F64D96" w:rsidSect="00B20615">
      <w:type w:val="continuous"/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1C" w:rsidRDefault="002D421C"/>
  </w:endnote>
  <w:endnote w:type="continuationSeparator" w:id="0">
    <w:p w:rsidR="002D421C" w:rsidRDefault="002D42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1C" w:rsidRDefault="002D421C"/>
  </w:footnote>
  <w:footnote w:type="continuationSeparator" w:id="0">
    <w:p w:rsidR="002D421C" w:rsidRDefault="002D42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4D96"/>
    <w:rsid w:val="000031A1"/>
    <w:rsid w:val="000E5450"/>
    <w:rsid w:val="000F7BD0"/>
    <w:rsid w:val="001E7B4B"/>
    <w:rsid w:val="002D421C"/>
    <w:rsid w:val="003B0D5E"/>
    <w:rsid w:val="007264FC"/>
    <w:rsid w:val="00961FC4"/>
    <w:rsid w:val="00B20615"/>
    <w:rsid w:val="00B576E9"/>
    <w:rsid w:val="00C539BF"/>
    <w:rsid w:val="00F64D96"/>
    <w:rsid w:val="00FD7C0A"/>
    <w:rsid w:val="00FE15A7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  <w:style w:type="character" w:styleId="a8">
    <w:name w:val="Hyperlink"/>
    <w:basedOn w:val="a0"/>
    <w:uiPriority w:val="99"/>
    <w:unhideWhenUsed/>
    <w:rsid w:val="00FE15A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0E54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Honor</cp:lastModifiedBy>
  <cp:revision>7</cp:revision>
  <cp:lastPrinted>2024-04-17T12:21:00Z</cp:lastPrinted>
  <dcterms:created xsi:type="dcterms:W3CDTF">2023-07-20T09:58:00Z</dcterms:created>
  <dcterms:modified xsi:type="dcterms:W3CDTF">2024-04-17T12:55:00Z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